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rId42.png" ContentType="image/png"/>
  <Override PartName="/word/media/rId39.png" ContentType="image/png"/>
  <Override PartName="/word/media/rId31.png" ContentType="image/png"/>
  <Override PartName="/word/media/rId28.png" ContentType="image/png"/>
  <Override PartName="/word/media/rId20.png" ContentType="image/png"/>
  <Override PartName="/word/media/rId23.png" ContentType="image/png"/>
  <Override PartName="/word/media/rId45.png" ContentType="image/png"/>
  <Override PartName="/word/media/rId35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2.png" ContentType="image/png"/>
  <Override PartName="/word/media/image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Primo</w:t>
      </w:r>
      <w:r>
        <w:t xml:space="preserve"> </w:t>
      </w:r>
      <w:r>
        <w:t xml:space="preserve">report</w:t>
      </w:r>
    </w:p>
    <w:p>
      <w:pPr>
        <w:pStyle w:val="Date"/>
      </w:pPr>
      <w:r>
        <w:t xml:space="preserve">2023-06-07</w:t>
      </w:r>
    </w:p>
    <w:p>
      <w:pPr>
        <w:pStyle w:val="FirstParagraph"/>
      </w:pPr>
      <w:r>
        <w:t xml:space="preserve">Nelle marche ci sono 1.512.672 residenti distribuiti su 228 comuni con una popolazione media di 6.635 persone a comune. In totale 98 hanno meno di 2.000 abitanti.</w:t>
      </w:r>
    </w:p>
    <w:bookmarkStart w:id="27" w:name="numero-di-residenti-con-più-di-65-anni"/>
    <w:p>
      <w:pPr>
        <w:pStyle w:val="Heading2"/>
      </w:pPr>
      <w:r>
        <w:t xml:space="preserve">Numero di residenti con più di 65 anni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C.primo_report_dati_files/figure-docx/mappa_over65-1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bd7185ba-a676-4549-b290-9659997d18fb" w:name="tabella_over65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bd7185ba-a676-4549-b290-9659997d18fb"/>
      <w:r>
        <w:t xml:space="preserve">: </w:t>
      </w:r>
      <w:r>
        <w:t xml:space="preserve">Top 15 comuni con la popolazione over 65 più alta in termini assoluti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Anziani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 Totale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Percentuale Over 65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Ancona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24,952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99,077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25.2%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Pesaro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23,676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95,152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14,231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60,411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23.6%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Ascoli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12,861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47,404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Benedetto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11,640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47,544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24.5%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Senigallia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11,104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44,330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Macerata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10,609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41,047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25.8%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Jesi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39,579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Civitanova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9,313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42,167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Fermo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36,812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24.6%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Fabriano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7,505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30,328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Osimo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7,337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34,847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Falconara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25,780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27.4%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Porto Sant'Elpidio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25,646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21.3%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Recanati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5,012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21,113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23.7%</w:t>
            </w:r>
          </w:p>
        </w:tc>
      </w:tr>
    </w:tbl>
    <w:bookmarkStart w:id="26" w:name="Xaacbd70f8f428b3390f6aaa0b054cc4c0966181"/>
    <w:p>
      <w:pPr>
        <w:pStyle w:val="Heading3"/>
      </w:pPr>
      <w:r>
        <w:t xml:space="preserve">Percentuale di residenti con più di 65 anni</w:t>
      </w:r>
    </w:p>
    <w:p>
      <w:pPr>
        <w:pStyle w:val="FirstParagraph"/>
      </w:pPr>
      <w:r>
        <w:drawing>
          <wp:inline>
            <wp:extent cx="5943600" cy="475488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C.primo_report_dati_files/figure-docx/mappa_over65_perc-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0b3d9508-cb75-4c74-8575-a0804825dff9" w:name="tab_proporzione_anziani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0b3d9508-cb75-4c74-8575-a0804825dff9"/>
      <w:r>
        <w:t xml:space="preserve">: </w:t>
      </w:r>
      <w:r>
        <w:t xml:space="preserve">Top 15 comuni con la percentuale di over 65 più alta relativamente alla popolazione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1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Percentuale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Anziani 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 Totale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Cantiano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2,112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Arcevia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32.5%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1,416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4,363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Acquasanta Terme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2,646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Ginesio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3,236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Pergola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6,049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Loro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2,277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Montefiore dell'Aso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2,001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Offida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28.7%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1,407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4,895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Sarnano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3,108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Ostra Vetere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27.7%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3,213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Falconara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7,060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25,780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Severino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12,304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Petritoli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2,234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Ascoli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12,861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47,404</w:t>
            </w:r>
          </w:p>
        </w:tc>
      </w:tr>
      <w:tr>
        <w:trPr>
          <w:cantSplit/>
          <w:trHeight w:val="476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Cagli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27.1%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2,268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8,376</w:t>
            </w:r>
          </w:p>
        </w:tc>
      </w:tr>
    </w:tbl>
    <w:bookmarkEnd w:id="26"/>
    <w:bookmarkEnd w:id="27"/>
    <w:bookmarkStart w:id="34" w:name="servizi-domiciliari"/>
    <w:p>
      <w:pPr>
        <w:pStyle w:val="Heading2"/>
      </w:pPr>
      <w:r>
        <w:t xml:space="preserve">Servizi domiciliari</w:t>
      </w:r>
    </w:p>
    <w:p>
      <w:pPr>
        <w:pStyle w:val="FirstParagraph"/>
      </w:pPr>
      <w:r>
        <w:t xml:space="preserve">In totale nella regione per il servizio SAD si è speso 6.04 milioni, di cui 5.648 milioni a carico della regione e 0.3923 milioni a carico dei cittadini.</w:t>
      </w:r>
    </w:p>
    <w:p>
      <w:pPr>
        <w:pStyle w:val="BodyText"/>
      </w:pPr>
      <w:r>
        <w:t xml:space="preserve">In totale nella regione per il servizio ADI si è speso 0.3481 milioni, di cui 0.3481 milioni a carico della regione e 0 milioni a carico dei cittadini.</w:t>
      </w:r>
    </w:p>
    <w:p>
      <w:pPr>
        <w:pStyle w:val="BodyText"/>
      </w:pPr>
      <w:r>
        <w:t xml:space="preserve">Bisogna tener presente che 82 su 228 non hanno alcun utente in SAD, e sono stati esclusi dalla tabella.</w:t>
      </w:r>
    </w:p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C.primo_report_dati_files/figure-docx/mappa_adi_sad-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C.primo_report_dati_files/figure-docx/mappa_adi-1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990214ba-e3e7-43a1-90db-8f2a98d19aee" w:name="tab_prop_sad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990214ba-e3e7-43a1-90db-8f2a98d19aee"/>
      <w:r>
        <w:t xml:space="preserve">: </w:t>
      </w:r>
      <w:r>
        <w:t xml:space="preserve">Top 10 comuni per utenti SAD su popolazione over 65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per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Tolentino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444,671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4,079.0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4,805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Porto Sant'Elpidio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268,377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2,033.0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5,472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Camerino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52,481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1,692.0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1,791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Senigallia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628,691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3,308.0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11,104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Cantiano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15,794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704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Fossombrone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83,989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2,153.0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2,280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Cagli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52,646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2,268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Macerata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331,197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2,490.0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10,609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Acqualagna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22,814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1,754.0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955</w:t>
            </w:r>
          </w:p>
        </w:tc>
      </w:tr>
      <w:tr>
        <w:trPr>
          <w:cantSplit/>
          <w:trHeight w:val="473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Appignano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65,154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5,429.0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66.0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981</w:t>
            </w:r>
          </w:p>
        </w:tc>
      </w:tr>
    </w:tbl>
    <w:p>
      <w:pPr>
        <w:pStyle w:val="TableCaption"/>
      </w:pPr>
      <w:r>
        <w:rPr>
          <w:rFonts/>
          <w:b w:val="true"/>
        </w:rPr>
        <w:t xml:space="preserve">Table </w:t>
      </w:r>
      <w:bookmarkStart w:id="63c5dfd7-bca9-420c-abe6-3ab3b2239984" w:name="tab_propo_sad_less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63c5dfd7-bca9-420c-abe6-3ab3b2239984"/>
      <w:r>
        <w:t xml:space="preserve">: </w:t>
      </w:r>
      <w:r>
        <w:t xml:space="preserve">Top 10 comuni con meno utenti SAD su popolazione over 65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per SAD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SAD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Corridonia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2,076.0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3,267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Civitanova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2,000.0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9,313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Pergola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3,170.0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1,809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Sirolo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3,396.0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San Vito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6,981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3,490.0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1,402</w:t>
            </w:r>
          </w:p>
        </w:tc>
      </w:tr>
      <w:tr>
        <w:trPr>
          <w:cantSplit/>
          <w:trHeight w:val="438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740.0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Pollenza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3,607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1,607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Acquasanta Terme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3,827.0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Montemarciano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13,963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3,490.0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2,198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Mondolfo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12,644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2,107.0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3,330</w:t>
            </w:r>
          </w:p>
        </w:tc>
      </w:tr>
    </w:tbl>
    <w:bookmarkEnd w:id="34"/>
    <w:bookmarkStart w:id="38" w:name="Xa52ec47e0ac46368d2e600d2402b689b93e398c"/>
    <w:p>
      <w:pPr>
        <w:pStyle w:val="Heading2"/>
      </w:pPr>
      <w:r>
        <w:t xml:space="preserve">Spsa per RSA (Residenza Sanitaria Assistenziale)</w:t>
      </w:r>
    </w:p>
    <w:p>
      <w:pPr>
        <w:pStyle w:val="FirstParagraph"/>
      </w:pPr>
      <w:r>
        <w:t xml:space="preserve">In totale nella regione per i servizi di RSA sono stati spesi 30.85 milioni, di cui 10.03 milioni a carico del Sistema Sanitario, 3.448 milioni a carico della regione e 17.38 milioni a carico dei cittadini.</w:t>
      </w:r>
    </w:p>
    <w:p>
      <w:pPr>
        <w:pStyle w:val="BodyText"/>
      </w:pPr>
      <w:r>
        <w:t xml:space="preserve">Bisogna tener presente che 168 su 228 comuni non hanno alcun utente in RSA (ad esempio il comune di Macerata), e sono stati esclusi dalla tabella, ma meritano una analisi specifica.</w:t>
      </w:r>
    </w:p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C.primo_report_dati_files/figure-docx/mappa_rsa%20-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ab6bbe70-ddf5-4627-b2bd-274b13f52343" w:name="tab_rsa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ab6bbe70-ddf5-4627-b2bd-274b13f52343"/>
      <w:r>
        <w:t xml:space="preserve">: </w:t>
      </w:r>
      <w:r>
        <w:t xml:space="preserve">Top 15 comuni per spesa RSA per anziano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totale per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Urbisaglia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2,153.0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25,511.0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1,352,084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628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Petritoli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1,399.0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17,729.0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851,021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Sarnano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1,239.0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21,486.0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1,095,786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884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Cerreto d'Esi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1,197.0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25,880.0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931,688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Santa Maria Nuova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1,143.0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24,246.0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1,115,333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975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Loro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939.0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24,913.0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622,828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663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Urbania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755.0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22,323.0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1,138,500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1,507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Pollenza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682.0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27,412.0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1,096,502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1,607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635.0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20,080.0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502,015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790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Mogliano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563.0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16,825.0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673,000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1,195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San Giusto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20,527.0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862,144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1,741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Montecassiano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380.0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24,202.0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605,058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1,592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Sassoferrato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357.0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26,585.0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664,632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1,860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Montemarciano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311.0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27,349.0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683,737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2,198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Treia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301.0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22,408.0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694,658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2,307</w:t>
            </w:r>
          </w:p>
        </w:tc>
      </w:tr>
    </w:tbl>
    <w:p>
      <w:pPr>
        <w:pStyle w:val="TableCaption"/>
      </w:pPr>
      <w:r>
        <w:rPr>
          <w:rFonts/>
          <w:b w:val="true"/>
        </w:rPr>
        <w:t xml:space="preserve">Table </w:t>
      </w:r>
      <w:bookmarkStart w:id="5981473c-bbd3-4253-aade-ccc01468b298" w:name="tab_rsa_less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5981473c-bbd3-4253-aade-ccc01468b298"/>
      <w:r>
        <w:t xml:space="preserve">: </w:t>
      </w:r>
      <w:r>
        <w:t xml:space="preserve">Top 15 comuni per minor spesa RSA per anziano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anziano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Utenti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RSA per utente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Spesa totale per RSA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Ancona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24,952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Urano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968.0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1,909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Senigallia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850.0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8,500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11,104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Appignano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107.1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1,071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981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Monteprandone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600.0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2,422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Ascoli Piceno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16,986.5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67,946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12,861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Civitanova Marche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1,579.0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90,000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9,313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Cupra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10.3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403.6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13,721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1,332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Castelraimondo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850.0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34,000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1,116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55.8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18,042.8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793,885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14,231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Fossombrone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4,291.2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184,523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2,280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Pesaro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106.6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30,772.4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2,523,339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23,676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 Benedetto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112.9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19,329.9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1,314,435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11,640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Sant'Elpidio a Mare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129.6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19,122.7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497,191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3,836</w:t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Corridonia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168.3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18,330.9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549,926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3,267</w:t>
            </w:r>
          </w:p>
        </w:tc>
      </w:tr>
    </w:tbl>
    <w:bookmarkEnd w:id="38"/>
    <w:bookmarkStart w:id="48" w:name="consumo-risorse-ospedaliere"/>
    <w:p>
      <w:pPr>
        <w:pStyle w:val="Heading2"/>
      </w:pPr>
      <w:r>
        <w:t xml:space="preserve">Consumo risorse ospedaliere</w:t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9959b337-80aa-4823-bb43-4c216f914abb" w:name="tab_malattie_provincia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9959b337-80aa-4823-bb43-4c216f914abb"/>
      <w:r>
        <w:t xml:space="preserve">: </w:t>
      </w:r>
      <w:r>
        <w:t xml:space="preserve">Numero di ricoveri in un anno associati alle principali malattie croniche non trasmissibili (NCDs)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6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Malattia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Numero di ricoveri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Giorni di degenza generati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Costo dei ricoveri (milioni)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asma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119   (0.05%)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 688   (0.04%)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0.21   (0.03%)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bpco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493   (0.21%)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4589   (0.29%)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1.00   (0.12%)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cardiopatia_ischemica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5528   (2.38%)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37293   (2.39%)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32.54   (4.04%)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demenze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260   (0.11%)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4665   (0.30%)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0.63   (0.08%)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diabete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386   (0.17%)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1690   (0.11%)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0.31   (0.04%)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diabete_complicato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308   (0.13%)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1632   (0.10%)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1.25   (0.16%)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ipertensione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165   (0.07%)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1129   (0.07%)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0.31   (0.04%)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ipo_iper_tiroidismo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 63   (0.03%)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  169   (0.01%)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0.13   (0.02%)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irc_non_dialitica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2927   (1.26%)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25846   (1.66%)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11.95   (1.48%)</w:t>
            </w:r>
          </w:p>
        </w:tc>
      </w:tr>
      <w:tr>
        <w:trPr>
          <w:cantSplit/>
          <w:trHeight w:val="47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scompenso_cardiaco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6184   (2.67%)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 61111   (3.92%)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 22.26   (2.76%)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altre_patologie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215411  (92.91%)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1421491  (91.10%)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734.68  (91.23%)</w:t>
            </w:r>
          </w:p>
        </w:tc>
      </w:tr>
      <w:tr>
        <w:trPr>
          <w:cantSplit/>
          <w:trHeight w:val="472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Total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231844 (100.00%)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1560303 (100.00%)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805.27 (100.00%)</w:t>
            </w:r>
          </w:p>
        </w:tc>
      </w:tr>
    </w:tbl>
    <w:p>
      <w:pPr>
        <w:pStyle w:val="BodyText"/>
      </w:pPr>
      <w:r>
        <w:drawing>
          <wp:inline>
            <wp:extent cx="5943600" cy="59436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C.primo_report_dati_files/figure-docx/map_ncds-1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 comuni più grandi certamente generano la maggiore domanda di questi servizi. In questi comuni sarebbe opportuno implementare servizi di prevenzione per ridurre questa domanda, e servizi domiciliari/territoriali per ritardare gli esiti più gravi, e non dover ricorrere all’ospedale, generando</w:t>
      </w:r>
    </w:p>
    <w:p>
      <w:pPr>
        <w:numPr>
          <w:ilvl w:val="0"/>
          <w:numId w:val="1001"/>
        </w:numPr>
      </w:pPr>
      <w:r>
        <w:t xml:space="preserve">costi maggiori</w:t>
      </w:r>
    </w:p>
    <w:p>
      <w:pPr>
        <w:numPr>
          <w:ilvl w:val="0"/>
          <w:numId w:val="1001"/>
        </w:numPr>
      </w:pPr>
      <w:r>
        <w:t xml:space="preserve">peggiore qualità della vita dei pazienti</w:t>
      </w:r>
    </w:p>
    <w:p>
      <w:pPr>
        <w:numPr>
          <w:ilvl w:val="0"/>
          <w:numId w:val="1001"/>
        </w:numPr>
      </w:pPr>
      <w:r>
        <w:t xml:space="preserve">disagi per tutti i pazienti affetti da altre patologie che risentono dell’intasamento di pronto soccorso, reparti, e quindi lunghe liste di attesa per la cira di patologie che necessitano dell’ospedale</w:t>
      </w:r>
    </w:p>
    <w:p>
      <w:pPr>
        <w:pStyle w:val="FirstParagraph"/>
      </w:pPr>
      <w:r>
        <w:t xml:space="preserve">La domanda di questi servizi è certamente associato all’età, ovvero alla percentuale di anziani nei comuni.</w:t>
      </w:r>
    </w:p>
    <w:p>
      <w:pPr>
        <w:pStyle w:val="BodyText"/>
      </w:pPr>
      <w:r>
        <w:t xml:space="preserve">Il grafico seguente mostra la correlazione tra percentuale di anziani e percentuale di ricoveri associati a NCDs per comune e la tabella seguente mostra il risultato di una regressione lineare che include anche il reddito medio per comune (altra variabile che potrebbe essere associata ad un peggiore stato di salute.</w:t>
      </w:r>
    </w:p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C.primo_report_dati_files/figure-docx/graf_regressione_ricoveri_anziani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508" w:hRule="auto"/>
          <w:tblHeader/>
        </w:trPr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Characteristic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Beta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95% CI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22"/>
                <w:szCs w:val="22"/>
                <w:color w:val="000000"/>
              </w:rPr>
              <w:t xml:space="preserve">1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center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22"/>
                <w:szCs w:val="22"/>
                <w:color w:val="000000"/>
              </w:rPr>
              <w:t xml:space="preserve">p-value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Percentuale di over 65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0.22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0.11, 0.33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&lt;0.001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</w:tr>
      <w:tr>
        <w:trPr>
          <w:cantSplit/>
          <w:trHeight w:val="457" w:hRule="auto"/>
        </w:trPr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Reddito medio comune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0.00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0.00, 0.00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  <w:tc>
          <w:tcPr>
            <w:tcBorders>
              <w:bottom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jc w:val="center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0.050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</w:p>
        </w:tc>
      </w:tr>
      <w:tr>
        <w:trPr>
          <w:cantSplit/>
          <w:trHeight w:val="360" w:hRule="auto"/>
        </w:trPr>
        <w:tc>
          <w:tcPr>
            <w:gridSpan w:val="4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>1</w:t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CI = Confidence Interval</w:t>
            </w:r>
          </w:p>
        </w:tc>
      </w:tr>
      <w:tr>
        <w:trPr>
          <w:cantSplit/>
          <w:trHeight w:val="360" w:hRule="auto"/>
        </w:trPr>
        <w:tc>
          <w:tcPr>
            <w:gridSpan w:val="4"/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vertAlign w:val="superscript"/>
                <w:sz w:val="18"/>
                <w:szCs w:val="18"/>
                <w:color w:val="000000"/>
              </w:rPr>
              <w:t xml:space="preserve"/>
            </w: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R² = 0.164; Adjusted R² = 0.151; AIC = -635; No. Obs. = 129</w:t>
            </w:r>
          </w:p>
        </w:tc>
      </w:tr>
    </w:tbl>
    <w:p>
      <w:pPr>
        <w:pStyle w:val="BodyText"/>
      </w:pPr>
      <w:r>
        <w:t xml:space="preserve">Come si può vedere, sebbene le due variabili siano collegate, il modello spiega solo il 16.4% della variabilità. In altre parole ci sono molti altri fattori correlati alla domanda di servizi ospedalieri legati a queste patologie su cui si può intervenire per ridurla.</w:t>
      </w:r>
    </w:p>
    <w:p>
      <w:pPr>
        <w:pStyle w:val="BodyText"/>
      </w:pPr>
      <w:r>
        <w:t xml:space="preserve">Le tabelle seguenti mostrano i comuni che si discostano maggiormente dal valore atteso in positivo e in negativo.</w:t>
      </w:r>
    </w:p>
    <w:p>
      <w:pPr>
        <w:pStyle w:val="BodyText"/>
      </w:pPr>
      <w:r>
        <w:t xml:space="preserve">I primi sono quelli che a parità di anziani hanno più ricoveri, quindi dove c’è più bisogno di intervenire con prevenzione e sevizi territoriali/domiciliari.</w:t>
      </w:r>
    </w:p>
    <w:p>
      <w:pPr>
        <w:pStyle w:val="BodyText"/>
      </w:pPr>
      <w:r>
        <w:t xml:space="preserve">I secondi, al contrario, sono quelli che a parità di anziani generano meno ricoveri, e sarebbe interessante vedere quali potrebbero essere le cause del minor accesso all’ospedale (migliore salute? Migliori servizi?)</w:t>
      </w:r>
    </w:p>
    <w:p>
      <w:pPr>
        <w:pStyle w:val="BodyText"/>
      </w:pPr>
      <w:r>
        <w:t xml:space="preserve">La mappa mostra questi comuni rispettivamente in rosso e in verde</w:t>
      </w:r>
    </w:p>
    <w:p>
      <w:pPr>
        <w:pStyle w:val="TableCaption"/>
      </w:pPr>
      <w:r>
        <w:rPr>
          <w:rFonts/>
          <w:b w:val="true"/>
        </w:rPr>
        <w:t xml:space="preserve">Table </w:t>
      </w:r>
      <w:bookmarkStart w:id="bc0025a3-e531-47dd-97f4-4c6abcf6f379" w:name="tab_comuni_malati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bc0025a3-e531-47dd-97f4-4c6abcf6f379"/>
      <w:r>
        <w:t xml:space="preserve">: </w:t>
      </w:r>
      <w:r>
        <w:t xml:space="preserve">Top 15 comuni spesa ricoveri NCDs a parità di anziani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anzianiover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ricoveri per NCDs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spesa per ricveri NCDs su totale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Pedaso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2,823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Amandola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16.0%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Cupramontana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4,507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1,216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27.0%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Mombaroccio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21.2%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13.7%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Acquasanta Terme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2,646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30.5%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Piandimeleto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12.8%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Apiro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13.4%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Montefiore dell'Aso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2,001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13.5%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Belvedere Ostrense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12.6%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Maiolati Spontini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6,200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1,516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11.9%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Sant'Elpidio a Mare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17,091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3,836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11.1%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Montegranaro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12,722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3,042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Montefelcino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2,540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11.6%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Fermignano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8,359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19.5%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10.5%</w:t>
            </w:r>
          </w:p>
        </w:tc>
      </w:tr>
      <w:tr>
        <w:trPr>
          <w:cantSplit/>
          <w:trHeight w:val="474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Castelplanio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3,525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803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22.8%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53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11.0%</w:t>
            </w:r>
          </w:p>
        </w:tc>
      </w:tr>
    </w:tbl>
    <w:p>
      <w:pPr>
        <w:pStyle w:val="TableCaption"/>
      </w:pPr>
      <w:r>
        <w:rPr>
          <w:rFonts/>
          <w:b w:val="true"/>
        </w:rPr>
        <w:t xml:space="preserve">Table </w:t>
      </w:r>
      <w:bookmarkStart w:id="763393e7-7e91-4a08-bc20-ddd6cd824d8c" w:name="tab_comuni_sani"/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begin" w:dirty="true"/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instrText xml:space="preserve" w:dirty="true">SEQ tab \* Arabic</w:instrText>
      </w:r>
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<w:rPr>
          <w:rFonts/>
          <w:b w:val="true"/>
        </w:rPr>
        <w:fldChar w:fldCharType="end" w:dirty="true"/>
      </w:r>
      <w:bookmarkEnd w:id="763393e7-7e91-4a08-bc20-ddd6cd824d8c"/>
      <w:r>
        <w:t xml:space="preserve">: </w:t>
      </w:r>
      <w:r>
        <w:t xml:space="preserve">Top 15 comuni con minor spesa per ricoveri NCDs a parità di anziani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<w:tblLayout w:type="autofit"/>
        <w:jc w:val="start"/>
        <w:tblLook w:firstRow="1" w:lastRow="0" w:firstColumn="0" w:lastColumn="0" w:noHBand="0" w:noVBand="1"/>
      </w:tblPr>
      <w:tr>
        <w:trPr>
          <w:cantSplit/>
          <w:trHeight w:val="474" w:hRule="auto"/>
          <w:tblHeader/>
        </w:trPr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Comune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Popolazione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anziani (over 65)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anzianiover 65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N. ricoveri per NCDs</w:t>
            </w:r>
          </w:p>
        </w:tc>
        <w:tc>
          <w:tcPr>
            <w:tcBorders>
              <w:bottom w:val="single" w:sz="16" w:space="0" w:color="666666"/>
              <w:top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% spesa per ricoveri NCDs su totale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Staffolo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2,174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4.6%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Sarnano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3,108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28.4%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Montefano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23.2%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5.7%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Monsano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3,343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4.6%</w:t>
            </w:r>
          </w:p>
        </w:tc>
      </w:tr>
      <w:tr>
        <w:trPr>
          <w:cantSplit/>
          <w:trHeight w:val="47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Cupra Marittima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5,401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1,332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24.7%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6.4%</w:t>
            </w:r>
          </w:p>
        </w:tc>
      </w:tr>
      <w:tr>
        <w:trPr>
          <w:cantSplit/>
          <w:trHeight w:val="47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Montelupone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3,454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23.1%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Castorano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6.9%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Colli del Tronto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3,673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20.3%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5.7%</w:t>
            </w:r>
          </w:p>
        </w:tc>
      </w:tr>
      <w:tr>
        <w:trPr>
          <w:cantSplit/>
          <w:trHeight w:val="47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Mogliano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4,497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1,195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7.1%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Pollenza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6,468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1,607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24.8%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6.7%</w:t>
            </w:r>
          </w:p>
        </w:tc>
      </w:tr>
      <w:tr>
        <w:trPr>
          <w:cantSplit/>
          <w:trHeight w:val="476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Monte San Pietrangeli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24.9%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Treia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9,234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2,307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25.0%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7.0%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Santa Maria Nuova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4,130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6.8%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Sirolo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4,082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964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23.6%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5.8%</w:t>
            </w:r>
          </w:p>
        </w:tc>
      </w:tr>
      <w:tr>
        <w:trPr>
          <w:cantSplit/>
          <w:trHeight w:val="473" w:hRule="auto"/>
        </w:trPr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15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Pergola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6,049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1,809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29.9%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77</w:t>
            </w:r>
          </w:p>
        </w:tc>
        <w:tc>
          <w:tcPr>
            <w:tcBorders>
              <w:bottom w:val="single" w:sz="16" w:space="0" w:color="666666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20" w:before="10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Helvetica" w:hAnsi="Helvetica" w:eastAsia="Helvetica" w:cs="Helvetica"/>
                <w:sz w:val="18"/>
                <w:szCs w:val="18"/>
                <w:color w:val="000000"/>
              </w:rPr>
              <w:t xml:space="preserve">8.3%</w:t>
            </w:r>
          </w:p>
        </w:tc>
      </w:tr>
    </w:tbl>
    <w:p>
      <w:pPr>
        <w:pStyle w:val="BodyText"/>
      </w:pPr>
      <w:r>
        <w:drawing>
          <wp:inline>
            <wp:extent cx="5943600" cy="475488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C.primo_report_dati_files/figure-docx/mappa_residui-1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sectPr w:rsidR="00831756">
      <w:footerReference r:id="rId9" w:type="even"/>
      <w:footerReference r:id="rId10" w:type="default"/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56103327"/>
      <w:docPartObj>
        <w:docPartGallery w:val="Page Numbers (Bottom of Page)"/>
        <w:docPartUnique/>
      </w:docPartObj>
    </w:sdtPr>
    <w:sdtContent>
      <w:p w14:paraId="5E6C8114" w14:textId="77777777" w:rsidR="00847094" w:rsidRDefault="00000000" w:rsidP="0005154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35F47">
          <w:rPr>
            <w:rStyle w:val="PageNumber"/>
            <w:noProof/>
          </w:rPr>
          <w:t>6</w:t>
        </w:r>
        <w:r>
          <w:rPr>
            <w:rStyle w:val="PageNumber"/>
          </w:rPr>
          <w:fldChar w:fldCharType="end"/>
        </w:r>
      </w:p>
    </w:sdtContent>
  </w:sdt>
  <w:p w14:paraId="03A0B6EF" w14:textId="77777777" w:rsidR="00847094" w:rsidRDefault="00000000" w:rsidP="0084709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86744414"/>
      <w:docPartObj>
        <w:docPartGallery w:val="Page Numbers (Bottom of Page)"/>
        <w:docPartUnique/>
      </w:docPartObj>
    </w:sdtPr>
    <w:sdtContent>
      <w:p w14:paraId="77A103DE" w14:textId="77777777" w:rsidR="00847094" w:rsidRDefault="00000000" w:rsidP="0005154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71E545B" w14:textId="77777777" w:rsidR="00847094" w:rsidRDefault="00000000" w:rsidP="00847094">
    <w:pPr>
      <w:pStyle w:val="Footer"/>
      <w:ind w:right="360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E8E2BA6C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15:restartNumberingAfterBreak="0" w:abstractNumId="1">
    <w:nsid w:val="0000A991"/>
    <w:multiLevelType w:val="multilevel"/>
    <w:tmpl w:val="73DAEAAA"/>
    <w:lvl w:ilvl="0">
      <w:numFmt w:val="bullet"/>
      <w:lvlText w:val="•"/>
      <w:lvlJc w:val="left"/>
      <w:pPr>
        <w:ind w:hanging="480" w:left="720"/>
      </w:pPr>
    </w:lvl>
    <w:lvl w:ilvl="1">
      <w:numFmt w:val="bullet"/>
      <w:lvlText w:val="–"/>
      <w:lvlJc w:val="left"/>
      <w:pPr>
        <w:ind w:hanging="480" w:left="1440"/>
      </w:pPr>
    </w:lvl>
    <w:lvl w:ilvl="2">
      <w:numFmt w:val="bullet"/>
      <w:lvlText w:val="•"/>
      <w:lvlJc w:val="left"/>
      <w:pPr>
        <w:ind w:hanging="480" w:left="2160"/>
      </w:pPr>
    </w:lvl>
    <w:lvl w:ilvl="3">
      <w:numFmt w:val="bullet"/>
      <w:lvlText w:val="–"/>
      <w:lvlJc w:val="left"/>
      <w:pPr>
        <w:ind w:hanging="480" w:left="2880"/>
      </w:pPr>
    </w:lvl>
    <w:lvl w:ilvl="4">
      <w:numFmt w:val="bullet"/>
      <w:lvlText w:val="•"/>
      <w:lvlJc w:val="left"/>
      <w:pPr>
        <w:ind w:hanging="480" w:left="3600"/>
      </w:pPr>
    </w:lvl>
    <w:lvl w:ilvl="5">
      <w:numFmt w:val="bullet"/>
      <w:lvlText w:val="–"/>
      <w:lvlJc w:val="left"/>
      <w:pPr>
        <w:ind w:hanging="480" w:left="4320"/>
      </w:pPr>
    </w:lvl>
    <w:lvl w:ilvl="6">
      <w:numFmt w:val="bullet"/>
      <w:lvlText w:val="•"/>
      <w:lvlJc w:val="left"/>
      <w:pPr>
        <w:ind w:hanging="480" w:left="5040"/>
      </w:pPr>
    </w:lvl>
    <w:lvl w:ilvl="7">
      <w:numFmt w:val="bullet"/>
      <w:lvlText w:val="–"/>
      <w:lvlJc w:val="left"/>
      <w:pPr>
        <w:ind w:hanging="480" w:left="5760"/>
      </w:pPr>
    </w:lvl>
    <w:lvl w:ilvl="8">
      <w:numFmt w:val="bullet"/>
      <w:lvlText w:val="•"/>
      <w:lvlJc w:val="left"/>
      <w:pPr>
        <w:ind w:hanging="480" w:left="6480"/>
      </w:pPr>
    </w:lvl>
  </w:abstractNum>
  <w:abstractNum w15:restartNumberingAfterBreak="0" w:abstractNumId="2">
    <w:nsid w:val="296A0ECB"/>
    <w:multiLevelType w:val="hybridMultilevel"/>
    <w:tmpl w:val="85BE67FC"/>
    <w:lvl w:ilvl="0" w:tplc="08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8090003">
      <w:start w:val="1"/>
      <w:numFmt w:val="bullet"/>
      <w:lvlText w:val="o"/>
      <w:lvlJc w:val="left"/>
      <w:pPr>
        <w:ind w:hanging="360" w:left="1440"/>
      </w:pPr>
      <w:rPr>
        <w:rFonts w:ascii="Courier New" w:hAnsi="Courier New" w:hint="default"/>
      </w:rPr>
    </w:lvl>
    <w:lvl w:ilvl="2" w:tentative="1" w:tplc="08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8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8090003">
      <w:start w:val="1"/>
      <w:numFmt w:val="bullet"/>
      <w:lvlText w:val="o"/>
      <w:lvlJc w:val="left"/>
      <w:pPr>
        <w:ind w:hanging="360" w:left="3600"/>
      </w:pPr>
      <w:rPr>
        <w:rFonts w:ascii="Courier New" w:hAnsi="Courier New" w:hint="default"/>
      </w:rPr>
    </w:lvl>
    <w:lvl w:ilvl="5" w:tentative="1" w:tplc="08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8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8090003">
      <w:start w:val="1"/>
      <w:numFmt w:val="bullet"/>
      <w:lvlText w:val="o"/>
      <w:lvlJc w:val="left"/>
      <w:pPr>
        <w:ind w:hanging="360" w:left="5760"/>
      </w:pPr>
      <w:rPr>
        <w:rFonts w:ascii="Courier New" w:hAnsi="Courier New" w:hint="default"/>
      </w:rPr>
    </w:lvl>
    <w:lvl w:ilvl="8" w:tentative="1" w:tplc="08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16cid:durableId="664936298" w:numId="1">
    <w:abstractNumId w:val="0"/>
  </w:num>
  <w:num w16cid:durableId="220605033" w:numId="2">
    <w:abstractNumId w:val="1"/>
  </w:num>
  <w:num w16cid:durableId="1750274234" w:numId="3">
    <w:abstractNumId w:val="1"/>
  </w:num>
  <w:num w16cid:durableId="2050572785" w:numId="4">
    <w:abstractNumId w:val="1"/>
  </w:num>
  <w:num w16cid:durableId="174611325" w:numId="5">
    <w:abstractNumId w:val="1"/>
  </w:num>
  <w:num w16cid:durableId="1203637198" w:numId="6">
    <w:abstractNumId w:val="1"/>
  </w:num>
  <w:num w16cid:durableId="1044791031" w:numId="7">
    <w:abstractNumId w:val="1"/>
  </w:num>
  <w:num w16cid:durableId="1242761205" w:numId="8">
    <w:abstractNumId w:val="1"/>
  </w:num>
  <w:num w16cid:durableId="624314288" w:numId="9">
    <w:abstractNumId w:val="1"/>
  </w:num>
  <w:num w16cid:durableId="1392727739" w:numId="10">
    <w:abstractNumId w:val="1"/>
  </w:num>
  <w:num w16cid:durableId="1238326312" w:numId="11">
    <w:abstractNumId w:val="1"/>
  </w:num>
  <w:num w16cid:durableId="2014330354" w:numId="12">
    <w:abstractNumId w:val="0"/>
  </w:num>
  <w:num w16cid:durableId="1539008193" w:numId="13">
    <w:abstractNumId w:val="1"/>
  </w:num>
  <w:num w16cid:durableId="1014116084" w:numId="14">
    <w:abstractNumId w:val="2"/>
  </w: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proofState w:grammar="clean" w:spelling="clean"/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55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 w:uiPriority="34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EF17EA"/>
    <w:rPr>
      <w:rFonts w:ascii="Arial" w:hAnsi="Arial"/>
      <w:sz w:val="20"/>
    </w:rPr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qFormat/>
    <w:rsid w:val="005900E1"/>
    <w:pPr>
      <w:spacing w:after="180" w:before="180"/>
      <w:jc w:val="both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TableCaption0" w:type="paragraph">
    <w:name w:val="TableCaption"/>
    <w:basedOn w:val="BodyText"/>
    <w:qFormat/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Footer" w:type="paragraph">
    <w:name w:val="footer"/>
    <w:basedOn w:val="Normal"/>
    <w:link w:val="FooterChar"/>
    <w:unhideWhenUsed/>
    <w:rsid w:val="00847094"/>
    <w:pPr>
      <w:tabs>
        <w:tab w:pos="4513" w:val="center"/>
        <w:tab w:pos="9026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847094"/>
  </w:style>
  <w:style w:styleId="PageNumber" w:type="character">
    <w:name w:val="page number"/>
    <w:basedOn w:val="DefaultParagraphFont"/>
    <w:semiHidden/>
    <w:unhideWhenUsed/>
    <w:rsid w:val="00847094"/>
  </w:style>
  <w:style w:styleId="ListParagraph" w:type="paragraph">
    <w:name w:val="List Paragraph"/>
    <w:basedOn w:val="Normal"/>
    <w:uiPriority w:val="34"/>
    <w:qFormat/>
    <w:rsid w:val="00DC7F9B"/>
    <w:pPr>
      <w:spacing w:after="0"/>
      <w:ind w:left="720"/>
      <w:contextualSpacing/>
    </w:pPr>
    <w:rPr>
      <w:lang w:val="en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footer1.xml" Type="http://schemas.openxmlformats.org/officeDocument/2006/relationships/footer" /><Relationship Id="rId10" Target="footer2.xml" Type="http://schemas.openxmlformats.org/officeDocument/2006/relationships/footer" /><Relationship Type="http://schemas.openxmlformats.org/officeDocument/2006/relationships/image" Id="rId42" Target="media/rId42.png" /><Relationship Type="http://schemas.openxmlformats.org/officeDocument/2006/relationships/image" Id="rId39" Target="media/rId39.png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20" Target="media/rId20.png" /><Relationship Type="http://schemas.openxmlformats.org/officeDocument/2006/relationships/image" Id="rId23" Target="media/rId23.png" /><Relationship Type="http://schemas.openxmlformats.org/officeDocument/2006/relationships/image" Id="rId45" Target="media/rId45.png" /><Relationship Type="http://schemas.openxmlformats.org/officeDocument/2006/relationships/image" Id="rId35" Target="media/rId3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4679</Words>
  <Characters>26675</Characters>
  <Application>Microsoft Office Word</Application>
  <DocSecurity>0</DocSecurity>
  <Lines>222</Lines>
  <Paragraphs>62</Paragraphs>
  <ScaleCrop>false</ScaleCrop>
  <Company/>
  <LinksUpToDate>false</LinksUpToDate>
  <CharactersWithSpaces>31292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Primo report</dc:title>
  <dc:creator/>
  <cp:keywords/>
  <dcterms:created xsi:type="dcterms:W3CDTF">2023-06-07T15:50:49Z</dcterms:created>
  <dcterms:modified xsi:type="dcterms:W3CDTF">2023-06-07T15:50:49Z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2023-06-07</vt:lpwstr>
  </property>
  <property fmtid="{D5CDD505-2E9C-101B-9397-08002B2CF9AE}" pid="3" name="output">
    <vt:lpwstr/>
  </property>
</Properties>
</file>